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Vendor proposal extracts and clarifications</w:t>
      </w:r>
    </w:p>
    <w:p>
      <w:pPr>
        <w:pStyle w:val="Subtitle"/>
      </w:pPr>
      <w:r>
        <w:t>Northbridge Components  |  Procurement evidence packet  |  Updated 28 October 2026</w:t>
      </w:r>
    </w:p>
    <w:p>
      <w:r>
        <w:t>SYNTHETIC DEMO. All companies, people, proposal identifiers and quotations are fictional. These invented vendor communications are not public customer evidence. Extracts are unverified commercial statements, not executed commitments.</w:t>
      </w:r>
    </w:p>
    <w:p>
      <w:pPr>
        <w:pStyle w:val="Heading1"/>
      </w:pPr>
      <w:r>
        <w:t>Alder proposal and final written correction</w:t>
      </w:r>
    </w:p>
    <w:p>
      <w:r>
        <w:t>Sources: Alder proposal AL NC 1016 dated 16 October 2026; procurement call notes dated 21 October; final written quote AL NC 1027 dated 27 October. All amounts are USD for 200 named seats.</w:t>
      </w:r>
    </w:p>
    <w:tbl>
      <w:tblPr>
        <w:tblW w:type="auto" w:w="0"/>
        <w:jc w:val="center"/>
        <w:tblLayout w:type="fixed"/>
        <w:tblLook w:firstColumn="1" w:firstRow="1" w:lastColumn="0" w:lastRow="0" w:noHBand="0" w:noVBand="1" w:val="04A0"/>
      </w:tblPr>
      <w:tblGrid>
        <w:gridCol w:w="2952"/>
        <w:gridCol w:w="7128"/>
      </w:tblGrid>
      <w:tr>
        <w:trPr>
          <w:cantSplit/>
          <w:tblHeader/>
        </w:trPr>
        <w:tc>
          <w:tcPr>
            <w:tcW w:type="dxa" w:w="2952"/>
            <w:vAlign w:val="center"/>
            <w:tcMar>
              <w:top w:w="90" w:type="dxa"/>
              <w:bottom w:w="90" w:type="dxa"/>
              <w:left w:w="100" w:type="dxa"/>
              <w:right w:w="100" w:type="dxa"/>
            </w:tcMar>
            <w:shd w:fill="E8EBEE"/>
          </w:tcPr>
          <w:p>
            <w:pPr>
              <w:spacing w:after="20" w:line="245" w:lineRule="auto"/>
            </w:pPr>
            <w:r>
              <w:rPr>
                <w:b/>
                <w:sz w:val="21"/>
              </w:rPr>
              <w:t>Commercial item</w:t>
            </w:r>
          </w:p>
        </w:tc>
        <w:tc>
          <w:tcPr>
            <w:tcW w:type="dxa" w:w="7128"/>
            <w:vAlign w:val="center"/>
            <w:tcMar>
              <w:top w:w="90" w:type="dxa"/>
              <w:bottom w:w="90" w:type="dxa"/>
              <w:left w:w="100" w:type="dxa"/>
              <w:right w:w="100" w:type="dxa"/>
            </w:tcMar>
            <w:shd w:fill="E8EBEE"/>
          </w:tcPr>
          <w:p>
            <w:pPr>
              <w:spacing w:after="20" w:line="245" w:lineRule="auto"/>
            </w:pPr>
            <w:r>
              <w:rPr>
                <w:b/>
                <w:sz w:val="21"/>
              </w:rPr>
              <w:t>Final quoted position</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Annual subscription</w:t>
            </w:r>
          </w:p>
        </w:tc>
        <w:tc>
          <w:tcPr>
            <w:tcW w:type="dxa" w:w="7128"/>
            <w:vAlign w:val="center"/>
            <w:tcMar>
              <w:top w:w="90" w:type="dxa"/>
              <w:bottom w:w="90" w:type="dxa"/>
              <w:left w:w="100" w:type="dxa"/>
              <w:right w:w="100" w:type="dxa"/>
            </w:tcMar>
          </w:tcPr>
          <w:p>
            <w:pPr>
              <w:spacing w:after="20" w:line="245" w:lineRule="auto"/>
            </w:pPr>
            <w:r>
              <w:rPr>
                <w:b w:val="0"/>
                <w:sz w:val="21"/>
              </w:rPr>
              <w:t>$110,000</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Implementation fee</w:t>
            </w:r>
          </w:p>
        </w:tc>
        <w:tc>
          <w:tcPr>
            <w:tcW w:type="dxa" w:w="7128"/>
            <w:vAlign w:val="center"/>
            <w:tcMar>
              <w:top w:w="90" w:type="dxa"/>
              <w:bottom w:w="90" w:type="dxa"/>
              <w:left w:w="100" w:type="dxa"/>
              <w:right w:w="100" w:type="dxa"/>
            </w:tcMar>
          </w:tcPr>
          <w:p>
            <w:pPr>
              <w:spacing w:after="20" w:line="245" w:lineRule="auto"/>
            </w:pPr>
            <w:r>
              <w:rPr>
                <w:b w:val="0"/>
                <w:sz w:val="21"/>
              </w:rPr>
              <w:t>$35,000 one time</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Year two subscription</w:t>
            </w:r>
          </w:p>
        </w:tc>
        <w:tc>
          <w:tcPr>
            <w:tcW w:type="dxa" w:w="7128"/>
            <w:vAlign w:val="center"/>
            <w:tcMar>
              <w:top w:w="90" w:type="dxa"/>
              <w:bottom w:w="90" w:type="dxa"/>
              <w:left w:w="100" w:type="dxa"/>
              <w:right w:w="100" w:type="dxa"/>
            </w:tcMar>
          </w:tcPr>
          <w:p>
            <w:pPr>
              <w:spacing w:after="20" w:line="245" w:lineRule="auto"/>
            </w:pPr>
            <w:r>
              <w:rPr>
                <w:b w:val="0"/>
                <w:sz w:val="21"/>
              </w:rPr>
              <w:t>$110,000 recurring, before any unagreed renewal change</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Delivery estimate</w:t>
            </w:r>
          </w:p>
        </w:tc>
        <w:tc>
          <w:tcPr>
            <w:tcW w:type="dxa" w:w="7128"/>
            <w:vAlign w:val="center"/>
            <w:tcMar>
              <w:top w:w="90" w:type="dxa"/>
              <w:bottom w:w="90" w:type="dxa"/>
              <w:left w:w="100" w:type="dxa"/>
              <w:right w:w="100" w:type="dxa"/>
            </w:tcMar>
          </w:tcPr>
          <w:p>
            <w:pPr>
              <w:spacing w:after="20" w:line="245" w:lineRule="auto"/>
            </w:pPr>
            <w:r>
              <w:rPr>
                <w:b w:val="0"/>
                <w:sz w:val="21"/>
              </w:rPr>
              <w:t>10 weeks from signature, subject to source data readiness</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Mandatory capabilities</w:t>
            </w:r>
          </w:p>
        </w:tc>
        <w:tc>
          <w:tcPr>
            <w:tcW w:type="dxa" w:w="7128"/>
            <w:vAlign w:val="center"/>
            <w:tcMar>
              <w:top w:w="90" w:type="dxa"/>
              <w:bottom w:w="90" w:type="dxa"/>
              <w:left w:w="100" w:type="dxa"/>
              <w:right w:w="100" w:type="dxa"/>
            </w:tcMar>
          </w:tcPr>
          <w:p>
            <w:pPr>
              <w:spacing w:after="20" w:line="245" w:lineRule="auto"/>
            </w:pPr>
            <w:r>
              <w:rPr>
                <w:b w:val="0"/>
                <w:sz w:val="21"/>
              </w:rPr>
              <w:t>EU hosting available now; SSO available now</w:t>
            </w:r>
          </w:p>
        </w:tc>
      </w:tr>
    </w:tbl>
    <w:p>
      <w:pPr>
        <w:spacing w:after="0"/>
      </w:pPr>
    </w:p>
    <w:p>
      <w:pPr>
        <w:pStyle w:val="Heading2"/>
      </w:pPr>
      <w:r>
        <w:t>Price correction retained for the audit trail</w:t>
      </w:r>
    </w:p>
    <w:p>
      <w:r>
        <w:t>The 16 October proposal listed a $30,000 implementation fee. The 27 October final written quote supersedes that amount with $35,000. The annual subscription is unchanged. Use the latest written fee in the decision comparison; do not average the two amounts or treat the old fee as an available discount.</w:t>
      </w:r>
    </w:p>
    <w:p>
      <w:pPr>
        <w:pStyle w:val="Heading2"/>
      </w:pPr>
      <w:r>
        <w:t>Portability and implementation clarification</w:t>
      </w:r>
    </w:p>
    <w:p>
      <w:r>
        <w:t>Alder implementation lead, 27 October: "Ticket records and customer records can be retrieved through our data export API. Attachment export requires a manual export workflow operated by your administrator; automated bulk attachment export is not included in this quote." API availability therefore does not establish complete automated portability.</w:t>
      </w:r>
    </w:p>
    <w:p>
      <w:r>
        <w:t>The 10-week estimate assumes customer mapping decisions within five business days and one rehearsal. No attachment throughput test, reconciliation sample or fixed migration acceptance criteria has been supplied. The quote does not price an exit exercise or additional migration rehearsals.</w:t>
      </w:r>
    </w:p>
    <w:p>
      <w:r>
        <w:t>Alder excludes taxes and usage overages. Procurement has not verified the ticket allowance, rate limits or overage rate at 18,000 monthly tickets. EU hosting and SSO are proposal assertions pending IT validation. No measured ROI or verified customer reference is attached.</w:t>
      </w:r>
    </w:p>
    <w:p>
      <w:r>
        <w:br w:type="page"/>
      </w:r>
    </w:p>
    <w:p>
      <w:pPr>
        <w:pStyle w:val="Heading1"/>
      </w:pPr>
      <w:r>
        <w:t>Birch proposal and hosting clarification</w:t>
      </w:r>
    </w:p>
    <w:p>
      <w:r>
        <w:t>Sources: Birch proposal BI NC 1017 dated 17 October 2026 and written clarification dated 26 October. Commercial scope is 200 named seats. All amounts are USD.</w:t>
      </w:r>
    </w:p>
    <w:tbl>
      <w:tblPr>
        <w:tblW w:type="auto" w:w="0"/>
        <w:jc w:val="center"/>
        <w:tblLayout w:type="fixed"/>
        <w:tblLook w:firstColumn="1" w:firstRow="1" w:lastColumn="0" w:lastRow="0" w:noHBand="0" w:noVBand="1" w:val="04A0"/>
      </w:tblPr>
      <w:tblGrid>
        <w:gridCol w:w="2952"/>
        <w:gridCol w:w="7128"/>
      </w:tblGrid>
      <w:tr>
        <w:trPr>
          <w:cantSplit/>
          <w:tblHeader/>
        </w:trPr>
        <w:tc>
          <w:tcPr>
            <w:tcW w:type="dxa" w:w="2952"/>
            <w:vAlign w:val="center"/>
            <w:tcMar>
              <w:top w:w="90" w:type="dxa"/>
              <w:bottom w:w="90" w:type="dxa"/>
              <w:left w:w="100" w:type="dxa"/>
              <w:right w:w="100" w:type="dxa"/>
            </w:tcMar>
            <w:shd w:fill="E8EBEE"/>
          </w:tcPr>
          <w:p>
            <w:pPr>
              <w:spacing w:after="20" w:line="245" w:lineRule="auto"/>
            </w:pPr>
            <w:r>
              <w:rPr>
                <w:b/>
                <w:sz w:val="21"/>
              </w:rPr>
              <w:t>Commercial item</w:t>
            </w:r>
          </w:p>
        </w:tc>
        <w:tc>
          <w:tcPr>
            <w:tcW w:type="dxa" w:w="7128"/>
            <w:vAlign w:val="center"/>
            <w:tcMar>
              <w:top w:w="90" w:type="dxa"/>
              <w:bottom w:w="90" w:type="dxa"/>
              <w:left w:w="100" w:type="dxa"/>
              <w:right w:w="100" w:type="dxa"/>
            </w:tcMar>
            <w:shd w:fill="E8EBEE"/>
          </w:tcPr>
          <w:p>
            <w:pPr>
              <w:spacing w:after="20" w:line="245" w:lineRule="auto"/>
            </w:pPr>
            <w:r>
              <w:rPr>
                <w:b/>
                <w:sz w:val="21"/>
              </w:rPr>
              <w:t>Quoted position</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Annual subscription</w:t>
            </w:r>
          </w:p>
        </w:tc>
        <w:tc>
          <w:tcPr>
            <w:tcW w:type="dxa" w:w="7128"/>
            <w:vAlign w:val="center"/>
            <w:tcMar>
              <w:top w:w="90" w:type="dxa"/>
              <w:bottom w:w="90" w:type="dxa"/>
              <w:left w:w="100" w:type="dxa"/>
              <w:right w:w="100" w:type="dxa"/>
            </w:tcMar>
          </w:tcPr>
          <w:p>
            <w:pPr>
              <w:spacing w:after="20" w:line="245" w:lineRule="auto"/>
            </w:pPr>
            <w:r>
              <w:rPr>
                <w:b w:val="0"/>
                <w:sz w:val="21"/>
              </w:rPr>
              <w:t>$95,000</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Implementation fee</w:t>
            </w:r>
          </w:p>
        </w:tc>
        <w:tc>
          <w:tcPr>
            <w:tcW w:type="dxa" w:w="7128"/>
            <w:vAlign w:val="center"/>
            <w:tcMar>
              <w:top w:w="90" w:type="dxa"/>
              <w:bottom w:w="90" w:type="dxa"/>
              <w:left w:w="100" w:type="dxa"/>
              <w:right w:w="100" w:type="dxa"/>
            </w:tcMar>
          </w:tcPr>
          <w:p>
            <w:pPr>
              <w:spacing w:after="20" w:line="245" w:lineRule="auto"/>
            </w:pPr>
            <w:r>
              <w:rPr>
                <w:b w:val="0"/>
                <w:sz w:val="21"/>
              </w:rPr>
              <w:t>$65,000 one time</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Year two subscription</w:t>
            </w:r>
          </w:p>
        </w:tc>
        <w:tc>
          <w:tcPr>
            <w:tcW w:type="dxa" w:w="7128"/>
            <w:vAlign w:val="center"/>
            <w:tcMar>
              <w:top w:w="90" w:type="dxa"/>
              <w:bottom w:w="90" w:type="dxa"/>
              <w:left w:w="100" w:type="dxa"/>
              <w:right w:w="100" w:type="dxa"/>
            </w:tcMar>
          </w:tcPr>
          <w:p>
            <w:pPr>
              <w:spacing w:after="20" w:line="245" w:lineRule="auto"/>
            </w:pPr>
            <w:r>
              <w:rPr>
                <w:b w:val="0"/>
                <w:sz w:val="21"/>
              </w:rPr>
              <w:t>$95,000 recurring, before any unagreed renewal change</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Delivery estimate</w:t>
            </w:r>
          </w:p>
        </w:tc>
        <w:tc>
          <w:tcPr>
            <w:tcW w:type="dxa" w:w="7128"/>
            <w:vAlign w:val="center"/>
            <w:tcMar>
              <w:top w:w="90" w:type="dxa"/>
              <w:bottom w:w="90" w:type="dxa"/>
              <w:left w:w="100" w:type="dxa"/>
              <w:right w:w="100" w:type="dxa"/>
            </w:tcMar>
          </w:tcPr>
          <w:p>
            <w:pPr>
              <w:spacing w:after="20" w:line="245" w:lineRule="auto"/>
            </w:pPr>
            <w:r>
              <w:rPr>
                <w:b w:val="0"/>
                <w:sz w:val="21"/>
              </w:rPr>
              <w:t>8 weeks from signature, subject to resource availability</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Mandatory capabilities</w:t>
            </w:r>
          </w:p>
        </w:tc>
        <w:tc>
          <w:tcPr>
            <w:tcW w:type="dxa" w:w="7128"/>
            <w:vAlign w:val="center"/>
            <w:tcMar>
              <w:top w:w="90" w:type="dxa"/>
              <w:bottom w:w="90" w:type="dxa"/>
              <w:left w:w="100" w:type="dxa"/>
              <w:right w:w="100" w:type="dxa"/>
            </w:tcMar>
          </w:tcPr>
          <w:p>
            <w:pPr>
              <w:spacing w:after="20" w:line="245" w:lineRule="auto"/>
            </w:pPr>
            <w:r>
              <w:rPr>
                <w:b w:val="0"/>
                <w:sz w:val="21"/>
              </w:rPr>
              <w:t>SSO available now; EU hosting not currently available</w:t>
            </w:r>
          </w:p>
        </w:tc>
      </w:tr>
    </w:tbl>
    <w:p>
      <w:pPr>
        <w:spacing w:after="0"/>
      </w:pPr>
    </w:p>
    <w:p>
      <w:pPr>
        <w:pStyle w:val="Heading2"/>
      </w:pPr>
      <w:r>
        <w:t>What the hosting roadmap does and does not mean</w:t>
      </w:r>
    </w:p>
    <w:p>
      <w:r>
        <w:t>The original proposal described EU hosting as "planned." In the 26 October clarification Birch sales director stated: "EU hosting is on our roadmap but is not available for purchase today. We cannot commit an EU production availability date in this proposal." No contractual delivery milestone or approved interim EU option is included.</w:t>
      </w:r>
    </w:p>
    <w:p>
      <w:r>
        <w:t>The eight-week estimate refers to deployment in Birch's currently offered hosting configuration. It must not be represented as an eight-week route to a compliant EU deployment. The RFP requires EU hosting at signature, not eventual availability after a migration.</w:t>
      </w:r>
    </w:p>
    <w:p>
      <w:pPr>
        <w:pStyle w:val="Heading2"/>
      </w:pPr>
      <w:r>
        <w:t>Commercial scope and unanswered items</w:t>
      </w:r>
    </w:p>
    <w:p>
      <w:r>
        <w:t>Birch includes configuration workshops, one standard data migration and administrator training in its implementation fee. The migration volume limit and treatment of historical attachments are not specified. A detailed work breakdown and migration acceptance criteria have been requested but not received.</w:t>
      </w:r>
    </w:p>
    <w:p>
      <w:r>
        <w:t>Taxes and usage overages are excluded. Included monthly ticket volume and overage pricing have not been verified. Birch has not supplied an evaluated ERP integration demonstration, tested export package or quantified cost of a future regional move.</w:t>
      </w:r>
    </w:p>
    <w:p>
      <w:r>
        <w:t>The internal service director liked the queue demonstration, but no timed usability test was conducted and no comparative productivity result exists. The demonstration is not evidence of a labor saving or verified ROI. A fast estimate and lower recurring price do not change the hosting position.</w:t>
      </w:r>
    </w:p>
    <w:p>
      <w:pPr>
        <w:pStyle w:val="Heading1"/>
      </w:pPr>
      <w:r>
        <w:t>Procurement record</w:t>
      </w:r>
    </w:p>
    <w:p>
      <w:r>
        <w:t>No requirement waiver, hosting exception or revised bid has been approved. The procurement team may seek an alternative offer, but the steering group should assess the proposal as written and show any hypothetical remediation as conditional.</w:t>
      </w:r>
    </w:p>
    <w:p>
      <w:r>
        <w:br w:type="page"/>
      </w:r>
    </w:p>
    <w:p>
      <w:pPr>
        <w:pStyle w:val="Heading1"/>
      </w:pPr>
      <w:r>
        <w:t>Cedar proposal and expedited option</w:t>
      </w:r>
    </w:p>
    <w:p>
      <w:r>
        <w:t>Sources: Cedar proposal CE NC 1018 dated 18 October 2026 and expedited delivery addendum dated 28 October. Commercial scope is 200 named seats. All amounts are USD.</w:t>
      </w:r>
    </w:p>
    <w:tbl>
      <w:tblPr>
        <w:tblW w:type="auto" w:w="0"/>
        <w:jc w:val="center"/>
        <w:tblLayout w:type="fixed"/>
        <w:tblLook w:firstColumn="1" w:firstRow="1" w:lastColumn="0" w:lastRow="0" w:noHBand="0" w:noVBand="1" w:val="04A0"/>
      </w:tblPr>
      <w:tblGrid>
        <w:gridCol w:w="2952"/>
        <w:gridCol w:w="7128"/>
      </w:tblGrid>
      <w:tr>
        <w:trPr>
          <w:cantSplit/>
          <w:tblHeader/>
        </w:trPr>
        <w:tc>
          <w:tcPr>
            <w:tcW w:type="dxa" w:w="2952"/>
            <w:vAlign w:val="center"/>
            <w:tcMar>
              <w:top w:w="90" w:type="dxa"/>
              <w:bottom w:w="90" w:type="dxa"/>
              <w:left w:w="100" w:type="dxa"/>
              <w:right w:w="100" w:type="dxa"/>
            </w:tcMar>
            <w:shd w:fill="E8EBEE"/>
          </w:tcPr>
          <w:p>
            <w:pPr>
              <w:spacing w:after="20" w:line="245" w:lineRule="auto"/>
            </w:pPr>
            <w:r>
              <w:rPr>
                <w:b/>
                <w:sz w:val="21"/>
              </w:rPr>
              <w:t>Commercial item</w:t>
            </w:r>
          </w:p>
        </w:tc>
        <w:tc>
          <w:tcPr>
            <w:tcW w:type="dxa" w:w="7128"/>
            <w:vAlign w:val="center"/>
            <w:tcMar>
              <w:top w:w="90" w:type="dxa"/>
              <w:bottom w:w="90" w:type="dxa"/>
              <w:left w:w="100" w:type="dxa"/>
              <w:right w:w="100" w:type="dxa"/>
            </w:tcMar>
            <w:shd w:fill="E8EBEE"/>
          </w:tcPr>
          <w:p>
            <w:pPr>
              <w:spacing w:after="20" w:line="245" w:lineRule="auto"/>
            </w:pPr>
            <w:r>
              <w:rPr>
                <w:b/>
                <w:sz w:val="21"/>
              </w:rPr>
              <w:t>Quoted position</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Annual subscription</w:t>
            </w:r>
          </w:p>
        </w:tc>
        <w:tc>
          <w:tcPr>
            <w:tcW w:type="dxa" w:w="7128"/>
            <w:vAlign w:val="center"/>
            <w:tcMar>
              <w:top w:w="90" w:type="dxa"/>
              <w:bottom w:w="90" w:type="dxa"/>
              <w:left w:w="100" w:type="dxa"/>
              <w:right w:w="100" w:type="dxa"/>
            </w:tcMar>
          </w:tcPr>
          <w:p>
            <w:pPr>
              <w:spacing w:after="20" w:line="245" w:lineRule="auto"/>
            </w:pPr>
            <w:r>
              <w:rPr>
                <w:b w:val="0"/>
                <w:sz w:val="21"/>
              </w:rPr>
              <w:t>$130,000</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Standard implementation</w:t>
            </w:r>
          </w:p>
        </w:tc>
        <w:tc>
          <w:tcPr>
            <w:tcW w:type="dxa" w:w="7128"/>
            <w:vAlign w:val="center"/>
            <w:tcMar>
              <w:top w:w="90" w:type="dxa"/>
              <w:bottom w:w="90" w:type="dxa"/>
              <w:left w:w="100" w:type="dxa"/>
              <w:right w:w="100" w:type="dxa"/>
            </w:tcMar>
          </w:tcPr>
          <w:p>
            <w:pPr>
              <w:spacing w:after="20" w:line="245" w:lineRule="auto"/>
            </w:pPr>
            <w:r>
              <w:rPr>
                <w:b w:val="0"/>
                <w:sz w:val="21"/>
              </w:rPr>
              <w:t>$30,000 one time; 14-week estimate</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Expedited implementation</w:t>
            </w:r>
          </w:p>
        </w:tc>
        <w:tc>
          <w:tcPr>
            <w:tcW w:type="dxa" w:w="7128"/>
            <w:vAlign w:val="center"/>
            <w:tcMar>
              <w:top w:w="90" w:type="dxa"/>
              <w:bottom w:w="90" w:type="dxa"/>
              <w:left w:w="100" w:type="dxa"/>
              <w:right w:w="100" w:type="dxa"/>
            </w:tcMar>
          </w:tcPr>
          <w:p>
            <w:pPr>
              <w:spacing w:after="20" w:line="245" w:lineRule="auto"/>
            </w:pPr>
            <w:r>
              <w:rPr>
                <w:b w:val="0"/>
                <w:sz w:val="21"/>
              </w:rPr>
              <w:t>An additional $25,000; 11-week estimate</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Year two subscription</w:t>
            </w:r>
          </w:p>
        </w:tc>
        <w:tc>
          <w:tcPr>
            <w:tcW w:type="dxa" w:w="7128"/>
            <w:vAlign w:val="center"/>
            <w:tcMar>
              <w:top w:w="90" w:type="dxa"/>
              <w:bottom w:w="90" w:type="dxa"/>
              <w:left w:w="100" w:type="dxa"/>
              <w:right w:w="100" w:type="dxa"/>
            </w:tcMar>
          </w:tcPr>
          <w:p>
            <w:pPr>
              <w:spacing w:after="20" w:line="245" w:lineRule="auto"/>
            </w:pPr>
            <w:r>
              <w:rPr>
                <w:b w:val="0"/>
                <w:sz w:val="21"/>
              </w:rPr>
              <w:t>$130,000 recurring, before any unagreed renewal change</w:t>
            </w:r>
          </w:p>
        </w:tc>
      </w:tr>
      <w:tr>
        <w:trPr>
          <w:cantSplit/>
        </w:trPr>
        <w:tc>
          <w:tcPr>
            <w:tcW w:type="dxa" w:w="2952"/>
            <w:vAlign w:val="center"/>
            <w:tcMar>
              <w:top w:w="90" w:type="dxa"/>
              <w:bottom w:w="90" w:type="dxa"/>
              <w:left w:w="100" w:type="dxa"/>
              <w:right w:w="100" w:type="dxa"/>
            </w:tcMar>
          </w:tcPr>
          <w:p>
            <w:pPr>
              <w:spacing w:after="20" w:line="245" w:lineRule="auto"/>
            </w:pPr>
            <w:r>
              <w:rPr>
                <w:b w:val="0"/>
                <w:sz w:val="21"/>
              </w:rPr>
              <w:t>Mandatory capabilities</w:t>
            </w:r>
          </w:p>
        </w:tc>
        <w:tc>
          <w:tcPr>
            <w:tcW w:type="dxa" w:w="7128"/>
            <w:vAlign w:val="center"/>
            <w:tcMar>
              <w:top w:w="90" w:type="dxa"/>
              <w:bottom w:w="90" w:type="dxa"/>
              <w:left w:w="100" w:type="dxa"/>
              <w:right w:w="100" w:type="dxa"/>
            </w:tcMar>
          </w:tcPr>
          <w:p>
            <w:pPr>
              <w:spacing w:after="20" w:line="245" w:lineRule="auto"/>
            </w:pPr>
            <w:r>
              <w:rPr>
                <w:b w:val="0"/>
                <w:sz w:val="21"/>
              </w:rPr>
              <w:t>EU hosting available now; SSO available now</w:t>
            </w:r>
          </w:p>
        </w:tc>
      </w:tr>
    </w:tbl>
    <w:p>
      <w:pPr>
        <w:spacing w:after="0"/>
      </w:pPr>
    </w:p>
    <w:p>
      <w:pPr>
        <w:pStyle w:val="Heading2"/>
      </w:pPr>
      <w:r>
        <w:t>Conditions attached to the expedited estimate</w:t>
      </w:r>
    </w:p>
    <w:p>
      <w:r>
        <w:t>Cedar delivery manager, 28 October: "The 11-week plan requires the expedited team, same-week mapping sign-off and a named customer test lead. The $25,000 surcharge is additional to the $30,000 standard implementation fee." No discount or surcharge waiver has been agreed.</w:t>
      </w:r>
    </w:p>
    <w:p>
      <w:r>
        <w:t>The standard route is estimated at 14 weeks, beyond the 12-week requirement. The expedited route brings the estimate inside that window but adds cost. Neither schedule is a guaranteed completion date. Customer resource availability and migration acceptance still need a signed plan.</w:t>
      </w:r>
    </w:p>
    <w:p>
      <w:pPr>
        <w:pStyle w:val="Heading2"/>
      </w:pPr>
      <w:r>
        <w:t>Evidence gaps and commercial exclusions</w:t>
      </w:r>
    </w:p>
    <w:p>
      <w:r>
        <w:t>Cedar states that EU hosting and SSO are available now, subject to normal configuration. IT has not validated the proposed environment. Cedar has not supplied an end-to-end attachment export test; the packet does not establish that Cedar is better or worse than Alder on complete portability.</w:t>
      </w:r>
    </w:p>
    <w:p>
      <w:r>
        <w:t>Taxes and usage overages are excluded. Ticket allowances, overage rates, storage growth and any future exit services are not yet priced. The expedited quote adds delivery capacity; it makes no verified productivity or ROI commitment.</w:t>
      </w:r>
    </w:p>
    <w:p>
      <w:pPr>
        <w:pStyle w:val="Heading1"/>
      </w:pPr>
      <w:r>
        <w:t>Packet interpretation and next response</w:t>
      </w:r>
    </w:p>
    <w:p>
      <w:r>
        <w:t>All three quotes remain unexecuted. Year-two amounts shown are recurring subscription figures only, not total operating cost forecasts. Do not carry one-time implementation or the Cedar expedite fee into year two unless a separately identified scenario requires it.</w:t>
      </w:r>
    </w:p>
    <w:p>
      <w:r>
        <w:t>Procurement requests one set of written follow-up questions for any proposed finalist. Resolve the dated Alder fee correction, compare both Cedar delivery routes and distinguish a failed requirement from an unknown. There is no prescribed scorecard, weighting or predetermined winner in this packet.</w:t>
      </w:r>
    </w:p>
    <w:sectPr w:rsidR="00FC693F" w:rsidRPr="0006063C" w:rsidSect="00034616">
      <w:footerReference w:type="default" r:id="rId9"/>
      <w:pgSz w:w="12240" w:h="15840"/>
      <w:pgMar w:top="1008" w:right="1080" w:bottom="936" w:left="1080" w:header="720"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SYNTHETIC DEMO  |  All names fictional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59" w:lineRule="auto"/>
    </w:pPr>
    <w:rPr>
      <w:rFonts w:ascii="Arial" w:hAnsi="Arial"/>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40"/>
      <w:outlineLvl w:val="0"/>
    </w:pPr>
    <w:rPr>
      <w:rFonts w:asciiTheme="majorHAnsi" w:eastAsiaTheme="majorEastAsia" w:hAnsiTheme="majorHAnsi" w:cstheme="majorBidi" w:ascii="Arial" w:hAnsi="Arial"/>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140"/>
      <w:outlineLvl w:val="1"/>
    </w:pPr>
    <w:rPr>
      <w:rFonts w:asciiTheme="majorHAnsi" w:eastAsiaTheme="majorEastAsia" w:hAnsiTheme="majorHAnsi" w:cstheme="majorBidi" w:ascii="Arial" w:hAnsi="Arial"/>
      <w:b/>
      <w:bCs/>
      <w:color w:val="000000"/>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60" w:line="240" w:lineRule="auto"/>
      <w:contextualSpacing/>
    </w:pPr>
    <w:rPr>
      <w:rFonts w:asciiTheme="majorHAnsi" w:eastAsiaTheme="majorEastAsia" w:hAnsiTheme="majorHAnsi" w:cstheme="majorBidi" w:ascii="Arial" w:hAnsi="Arial"/>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40"/>
    </w:pPr>
    <w:rPr>
      <w:rFonts w:asciiTheme="majorHAnsi" w:eastAsiaTheme="majorEastAsia" w:hAnsiTheme="majorHAnsi" w:cstheme="majorBidi" w:ascii="Arial" w:hAnsi="Arial"/>
      <w:i/>
      <w:iCs/>
      <w:color w:val="000000"/>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Vendor proposal extracts and clarifications</dc:title>
  <dc:subject/>
  <dc:creator>Synthetic Demo Procurement Team</dc:creator>
  <cp:keywords/>
  <dc:description>generated by python-docx</dc:description>
  <cp:lastModifiedBy/>
  <cp:revision>1</cp:revision>
  <dcterms:created xsi:type="dcterms:W3CDTF">2013-12-23T23:15:00Z</dcterms:created>
  <dcterms:modified xsi:type="dcterms:W3CDTF">2013-12-23T23:15:00Z</dcterms:modified>
  <cp:category/>
</cp:coreProperties>
</file>