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Support platform procurement brief</w:t>
      </w:r>
    </w:p>
    <w:p>
      <w:pPr>
        <w:pStyle w:val="Subtitle"/>
      </w:pPr>
      <w:r>
        <w:t>Northbridge Components  |  RFP NC 26 014  |  Issued 19 October 2026</w:t>
      </w:r>
    </w:p>
    <w:p>
      <w:r>
        <w:t>SYNTHETIC DEMO. Northbridge Components, all vendors and all people in this packet are fictional. This material is invented for a product evaluation; it is not public customer evidence.</w:t>
      </w:r>
    </w:p>
    <w:p>
      <w:r>
        <w:t>To the procurement working group: select a support platform for our manufacturing customer service operation. Bring a defensible recommendation to the 30 October steering review, with contract conditions and unresolved evidence clearly separated from confirmed requirements. This RFP does not authorize an award.</w:t>
      </w:r>
    </w:p>
    <w:p>
      <w:pPr>
        <w:pStyle w:val="Heading1"/>
      </w:pPr>
      <w:r>
        <w:t>Scope and nonnegotiable requirements</w:t>
      </w:r>
    </w:p>
    <w:p>
      <w:r>
        <w:t>The replacement must support 200 named agent seats and our current workload of 18,000 tickets per month across email and the customer portal. That volume is an operating baseline, not a contractual usage allowance. Migrating ticket history, customer records and attachments is in scope; the attachment inventory is not yet complete.</w:t>
      </w:r>
    </w:p>
    <w:tbl>
      <w:tblPr>
        <w:tblW w:type="auto" w:w="0"/>
        <w:jc w:val="center"/>
        <w:tblLayout w:type="fixed"/>
        <w:tblLook w:firstColumn="1" w:firstRow="1" w:lastColumn="0" w:lastRow="0" w:noHBand="0" w:noVBand="1" w:val="04A0"/>
      </w:tblPr>
      <w:tblGrid>
        <w:gridCol w:w="2304"/>
        <w:gridCol w:w="7776"/>
      </w:tblGrid>
      <w:tr>
        <w:trPr>
          <w:cantSplit/>
          <w:tblHeader/>
        </w:trPr>
        <w:tc>
          <w:tcPr>
            <w:tcW w:type="dxa" w:w="2304"/>
            <w:vAlign w:val="center"/>
            <w:tcMar>
              <w:top w:w="90" w:type="dxa"/>
              <w:bottom w:w="90" w:type="dxa"/>
              <w:left w:w="100" w:type="dxa"/>
              <w:right w:w="100" w:type="dxa"/>
            </w:tcMar>
            <w:shd w:fill="E8EBEE"/>
          </w:tcPr>
          <w:p>
            <w:pPr>
              <w:spacing w:after="20" w:line="245" w:lineRule="auto"/>
            </w:pPr>
            <w:r>
              <w:rPr>
                <w:b/>
                <w:sz w:val="21"/>
              </w:rPr>
              <w:t>Requirement</w:t>
            </w:r>
          </w:p>
        </w:tc>
        <w:tc>
          <w:tcPr>
            <w:tcW w:type="dxa" w:w="7776"/>
            <w:vAlign w:val="center"/>
            <w:tcMar>
              <w:top w:w="90" w:type="dxa"/>
              <w:bottom w:w="90" w:type="dxa"/>
              <w:left w:w="100" w:type="dxa"/>
              <w:right w:w="100" w:type="dxa"/>
            </w:tcMar>
            <w:shd w:fill="E8EBEE"/>
          </w:tcPr>
          <w:p>
            <w:pPr>
              <w:spacing w:after="20" w:line="245" w:lineRule="auto"/>
            </w:pPr>
            <w:r>
              <w:rPr>
                <w:b/>
                <w:sz w:val="21"/>
              </w:rPr>
              <w:t>Procurement instruction</w:t>
            </w:r>
          </w:p>
        </w:tc>
      </w:tr>
      <w:tr>
        <w:trPr>
          <w:cantSplit/>
        </w:trPr>
        <w:tc>
          <w:tcPr>
            <w:tcW w:type="dxa" w:w="2304"/>
            <w:vAlign w:val="center"/>
            <w:tcMar>
              <w:top w:w="90" w:type="dxa"/>
              <w:bottom w:w="90" w:type="dxa"/>
              <w:left w:w="100" w:type="dxa"/>
              <w:right w:w="100" w:type="dxa"/>
            </w:tcMar>
          </w:tcPr>
          <w:p>
            <w:pPr>
              <w:spacing w:after="20" w:line="245" w:lineRule="auto"/>
            </w:pPr>
            <w:r>
              <w:rPr>
                <w:b w:val="0"/>
                <w:sz w:val="21"/>
              </w:rPr>
              <w:t>Year one budget</w:t>
            </w:r>
          </w:p>
        </w:tc>
        <w:tc>
          <w:tcPr>
            <w:tcW w:type="dxa" w:w="7776"/>
            <w:vAlign w:val="center"/>
            <w:tcMar>
              <w:top w:w="90" w:type="dxa"/>
              <w:bottom w:w="90" w:type="dxa"/>
              <w:left w:w="100" w:type="dxa"/>
              <w:right w:w="100" w:type="dxa"/>
            </w:tcMar>
          </w:tcPr>
          <w:p>
            <w:pPr>
              <w:spacing w:after="20" w:line="245" w:lineRule="auto"/>
            </w:pPr>
            <w:r>
              <w:rPr>
                <w:b w:val="0"/>
                <w:sz w:val="21"/>
              </w:rPr>
              <w:t>Maximum $180,000 in USD for subscription and implementation. No exception or extra funding has been approved.</w:t>
            </w:r>
          </w:p>
        </w:tc>
      </w:tr>
      <w:tr>
        <w:trPr>
          <w:cantSplit/>
        </w:trPr>
        <w:tc>
          <w:tcPr>
            <w:tcW w:type="dxa" w:w="2304"/>
            <w:vAlign w:val="center"/>
            <w:tcMar>
              <w:top w:w="90" w:type="dxa"/>
              <w:bottom w:w="90" w:type="dxa"/>
              <w:left w:w="100" w:type="dxa"/>
              <w:right w:w="100" w:type="dxa"/>
            </w:tcMar>
          </w:tcPr>
          <w:p>
            <w:pPr>
              <w:spacing w:after="20" w:line="245" w:lineRule="auto"/>
            </w:pPr>
            <w:r>
              <w:rPr>
                <w:b w:val="0"/>
                <w:sz w:val="21"/>
              </w:rPr>
              <w:t>Hosting and identity</w:t>
            </w:r>
          </w:p>
        </w:tc>
        <w:tc>
          <w:tcPr>
            <w:tcW w:type="dxa" w:w="7776"/>
            <w:vAlign w:val="center"/>
            <w:tcMar>
              <w:top w:w="90" w:type="dxa"/>
              <w:bottom w:w="90" w:type="dxa"/>
              <w:left w:w="100" w:type="dxa"/>
              <w:right w:w="100" w:type="dxa"/>
            </w:tcMar>
          </w:tcPr>
          <w:p>
            <w:pPr>
              <w:spacing w:after="20" w:line="245" w:lineRule="auto"/>
            </w:pPr>
            <w:r>
              <w:rPr>
                <w:b w:val="0"/>
                <w:sz w:val="21"/>
              </w:rPr>
              <w:t>EU hosting available at contract signature and production SSO are must-haves. A future roadmap does not meet the hosting requirement.</w:t>
            </w:r>
          </w:p>
        </w:tc>
      </w:tr>
      <w:tr>
        <w:trPr>
          <w:cantSplit/>
        </w:trPr>
        <w:tc>
          <w:tcPr>
            <w:tcW w:type="dxa" w:w="2304"/>
            <w:vAlign w:val="center"/>
            <w:tcMar>
              <w:top w:w="90" w:type="dxa"/>
              <w:bottom w:w="90" w:type="dxa"/>
              <w:left w:w="100" w:type="dxa"/>
              <w:right w:w="100" w:type="dxa"/>
            </w:tcMar>
          </w:tcPr>
          <w:p>
            <w:pPr>
              <w:spacing w:after="20" w:line="245" w:lineRule="auto"/>
            </w:pPr>
            <w:r>
              <w:rPr>
                <w:b w:val="0"/>
                <w:sz w:val="21"/>
              </w:rPr>
              <w:t>Migration deadline</w:t>
            </w:r>
          </w:p>
        </w:tc>
        <w:tc>
          <w:tcPr>
            <w:tcW w:type="dxa" w:w="7776"/>
            <w:vAlign w:val="center"/>
            <w:tcMar>
              <w:top w:w="90" w:type="dxa"/>
              <w:bottom w:w="90" w:type="dxa"/>
              <w:left w:w="100" w:type="dxa"/>
              <w:right w:w="100" w:type="dxa"/>
            </w:tcMar>
          </w:tcPr>
          <w:p>
            <w:pPr>
              <w:spacing w:after="20" w:line="245" w:lineRule="auto"/>
            </w:pPr>
            <w:r>
              <w:rPr>
                <w:b w:val="0"/>
                <w:sz w:val="21"/>
              </w:rPr>
              <w:t>Production migration must complete within 12 weeks of contract signature. Dates in proposals are estimates until accepted in the statement of work.</w:t>
            </w:r>
          </w:p>
        </w:tc>
      </w:tr>
      <w:tr>
        <w:trPr>
          <w:cantSplit/>
        </w:trPr>
        <w:tc>
          <w:tcPr>
            <w:tcW w:type="dxa" w:w="2304"/>
            <w:vAlign w:val="center"/>
            <w:tcMar>
              <w:top w:w="90" w:type="dxa"/>
              <w:bottom w:w="90" w:type="dxa"/>
              <w:left w:w="100" w:type="dxa"/>
              <w:right w:w="100" w:type="dxa"/>
            </w:tcMar>
          </w:tcPr>
          <w:p>
            <w:pPr>
              <w:spacing w:after="20" w:line="245" w:lineRule="auto"/>
            </w:pPr>
            <w:r>
              <w:rPr>
                <w:b w:val="0"/>
                <w:sz w:val="21"/>
              </w:rPr>
              <w:t>Exit and portability</w:t>
            </w:r>
          </w:p>
        </w:tc>
        <w:tc>
          <w:tcPr>
            <w:tcW w:type="dxa" w:w="7776"/>
            <w:vAlign w:val="center"/>
            <w:tcMar>
              <w:top w:w="90" w:type="dxa"/>
              <w:bottom w:w="90" w:type="dxa"/>
              <w:left w:w="100" w:type="dxa"/>
              <w:right w:w="100" w:type="dxa"/>
            </w:tcMar>
          </w:tcPr>
          <w:p>
            <w:pPr>
              <w:spacing w:after="20" w:line="245" w:lineRule="auto"/>
            </w:pPr>
            <w:r>
              <w:rPr>
                <w:b w:val="0"/>
                <w:sz w:val="21"/>
              </w:rPr>
              <w:t>Assess export of records and attachments separately. Identify manual steps, fees and operational dependencies.</w:t>
            </w:r>
          </w:p>
        </w:tc>
      </w:tr>
    </w:tbl>
    <w:p>
      <w:pPr>
        <w:spacing w:after="0"/>
      </w:pPr>
    </w:p>
    <w:p>
      <w:pPr>
        <w:pStyle w:val="Heading1"/>
      </w:pPr>
      <w:r>
        <w:t>Budget and evidence treatment</w:t>
      </w:r>
    </w:p>
    <w:p>
      <w:r>
        <w:t>Compare year-one subscription plus one-time implementation separately from year-two recurring subscription. Vendor prices exclude taxes and usage overages. Finance has not quantified those exclusions; do not describe a quoted subtotal as an all-in total. Show headroom to the cap and require a validated full cost before award.</w:t>
      </w:r>
    </w:p>
    <w:p>
      <w:r>
        <w:t>There is no verified ROI, payback estimate or productivity baseline for this project. No customer references, security certifications or integration benchmarks have been independently validated in this packet. Do not turn vendor assertions into established evidence.</w:t>
      </w:r>
    </w:p>
    <w:p>
      <w:r>
        <w:br w:type="page"/>
      </w:r>
    </w:p>
    <w:p>
      <w:pPr>
        <w:pStyle w:val="Heading1"/>
      </w:pPr>
      <w:r>
        <w:t>Stakeholder discussion notes</w:t>
      </w:r>
    </w:p>
    <w:p>
      <w:r>
        <w:t>Meeting held 20 October 2026. Notes prepared by Lena Hart, procurement lead. These fictional internal remarks capture priorities and open questions; they are not public testimonials or customer evidence.</w:t>
      </w:r>
    </w:p>
    <w:p>
      <w:pPr>
        <w:pStyle w:val="Heading2"/>
      </w:pPr>
      <w:r>
        <w:t>Operations and service</w:t>
      </w:r>
    </w:p>
    <w:p>
      <w:r>
        <w:t>Mira Cole, service director: "We cannot lose historical attachments when a warranty dispute is reopened. A fast launch is not enough if supervisors need a second system to find evidence." She favors staged migration rehearsals but has not agreed to a temporary read-only legacy archive.</w:t>
      </w:r>
    </w:p>
    <w:p>
      <w:r>
        <w:t>Owen Vale, support operations: the existing queue has inconsistent categories and duplicated customer records. His team can allocate two subject matter experts to migration for six weeks. He has not confirmed availability for an accelerated implementation or an eight-week delivery plan.</w:t>
      </w:r>
    </w:p>
    <w:p>
      <w:pPr>
        <w:pStyle w:val="Heading2"/>
      </w:pPr>
      <w:r>
        <w:t>Technology and security</w:t>
      </w:r>
    </w:p>
    <w:p>
      <w:r>
        <w:t>Tessa Rowan, IT lead: EU hosting and SSO remain gates. A proposal saying "yes" is not approval of architecture, retention, subprocessors or recovery arrangements. IT wants a written data flow diagram, a tested SSO path and an environment demonstration before signing.</w:t>
      </w:r>
    </w:p>
    <w:p>
      <w:r>
        <w:t>The ERP connector has not been tested with any shortlisted vendor. Security review, migration mapping and attachment reconciliation can run in parallel only if the vendor commits named resources. None of the current proposal timelines includes a mutually signed milestone schedule.</w:t>
      </w:r>
    </w:p>
    <w:p>
      <w:pPr>
        <w:pStyle w:val="Heading2"/>
      </w:pPr>
      <w:r>
        <w:t>Finance and commercial</w:t>
      </w:r>
    </w:p>
    <w:p>
      <w:r>
        <w:t>Nico Arden, finance controller: "A lower recurring subscription does not excuse failing a must-have. Please show the cash requirement in year one and what remains in year two without assuming savings." Finance prefers a fixed implementation fee with written scope, but has not approved contingency spend above the $180,000 cap.</w:t>
      </w:r>
    </w:p>
    <w:p>
      <w:pPr>
        <w:pStyle w:val="Heading1"/>
      </w:pPr>
      <w:r>
        <w:t>Working group decision request</w:t>
      </w:r>
    </w:p>
    <w:p>
      <w:r>
        <w:t>Use the accompanying proposal extracts and dated clarifications to assess constraint fit, commercial trade-offs and delivery risk. A conditional recommendation or a decision to defer is acceptable. Explain what would have to change for a currently noncompliant option to become viable; do not silently waive requirements or invent negotiated terms.</w:t>
      </w:r>
    </w:p>
    <w:p>
      <w:r>
        <w:t>Before an award, owners must close the attachment inventory and portability test, confirm included usage at 18,000 tickets per month, validate taxes and overage exposure, complete security review and agree a migration acceptance plan. Record any unavailable evidence rather than assigning unsupported performance scores.</w:t>
      </w:r>
    </w:p>
    <w:sectPr w:rsidR="00FC693F" w:rsidRPr="0006063C" w:rsidSect="00034616">
      <w:footerReference w:type="default" r:id="rId9"/>
      <w:pgSz w:w="12240" w:h="15840"/>
      <w:pgMar w:top="1008" w:right="1080" w:bottom="936" w:left="1080" w:header="720"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SYNTHETIC DEMO  |  All names fictional  |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59" w:lineRule="auto"/>
    </w:pPr>
    <w:rPr>
      <w:rFonts w:ascii="Arial" w:hAnsi="Arial"/>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20" w:after="140"/>
      <w:outlineLvl w:val="0"/>
    </w:pPr>
    <w:rPr>
      <w:rFonts w:asciiTheme="majorHAnsi" w:eastAsiaTheme="majorEastAsia" w:hAnsiTheme="majorHAnsi" w:cstheme="majorBidi" w:ascii="Arial" w:hAnsi="Arial"/>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140"/>
      <w:outlineLvl w:val="1"/>
    </w:pPr>
    <w:rPr>
      <w:rFonts w:asciiTheme="majorHAnsi" w:eastAsiaTheme="majorEastAsia" w:hAnsiTheme="majorHAnsi" w:cstheme="majorBidi" w:ascii="Arial" w:hAnsi="Arial"/>
      <w:b/>
      <w:bCs/>
      <w:color w:val="000000"/>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60" w:line="240" w:lineRule="auto"/>
      <w:contextualSpacing/>
    </w:pPr>
    <w:rPr>
      <w:rFonts w:asciiTheme="majorHAnsi" w:eastAsiaTheme="majorEastAsia" w:hAnsiTheme="majorHAnsi" w:cstheme="majorBidi" w:ascii="Arial" w:hAnsi="Arial"/>
      <w:color w:val="000000"/>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after="140"/>
    </w:pPr>
    <w:rPr>
      <w:rFonts w:asciiTheme="majorHAnsi" w:eastAsiaTheme="majorEastAsia" w:hAnsiTheme="majorHAnsi" w:cstheme="majorBidi" w:ascii="Arial" w:hAnsi="Arial"/>
      <w:i/>
      <w:iCs/>
      <w:color w:val="000000"/>
      <w:spacing w:val="15"/>
      <w:sz w:val="22"/>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 platform procurement brief</dc:title>
  <dc:subject/>
  <dc:creator>Synthetic Demo Procurement Team</dc:creator>
  <cp:keywords/>
  <dc:description>generated by python-docx</dc:description>
  <cp:lastModifiedBy/>
  <cp:revision>1</cp:revision>
  <dcterms:created xsi:type="dcterms:W3CDTF">2013-12-23T23:15:00Z</dcterms:created>
  <dcterms:modified xsi:type="dcterms:W3CDTF">2013-12-23T23:15:00Z</dcterms:modified>
  <cp:category/>
</cp:coreProperties>
</file>