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Cedarline Logistics pilot QBR working notes</w:t>
      </w:r>
    </w:p>
    <w:p>
      <w:pPr>
        <w:pStyle w:val="Subtitle"/>
      </w:pPr>
      <w:r>
        <w:t>SYNTHETIC DEMONSTRATION ONLY</w:t>
      </w:r>
    </w:p>
    <w:p>
      <w:r>
        <w:t>Purpose: raw material for a ten-slide QBR, not a finished customer presentation. Cedarline Logistics, all people, events, commercial terms and metrics in this packet are fictional. Syaxis AI is named only as the demonstration vendor. This is not a real customer story or evidence of product performance.</w:t>
      </w:r>
    </w:p>
    <w:p>
      <w:r>
        <w:t>Meeting: 3 September 2026, 09:00–09:48 UTC. Review window: June–August 2026. August is a Q3 checkpoint, not a completed-quarter result. Notes compiled by Nina Vale on 4 September; metric correction added by Leo Park on 5 September.</w:t>
      </w:r>
    </w:p>
    <w:p>
      <w:r>
        <w:t>Participants: Nina Vale, fictional Syaxis customer success lead; Maya Chen, Cedarline customer operations director; Leo Park, Cedarline analytics; Omar Bell, Cedarline support systems; Priya Das, Cedarline procurement. Working conclusion: use existing seats better and resolve ownership before asking for expansion.</w:t>
      </w:r>
    </w:p>
    <w:p>
      <w:pPr>
        <w:pStyle w:val="Heading1"/>
      </w:pPr>
      <w:r>
        <w:t>Partial meeting transcript</w:t>
      </w:r>
    </w:p>
    <w:p>
      <w:r>
        <w:rPr>
          <w:b/>
        </w:rPr>
        <w:t xml:space="preserve">09:02  Nina: </w:t>
      </w:r>
      <w:r>
        <w:t>I have August at 94 active on 120 seats, so roughly 78 percent. That gets us quite close to the 80 percent goal. I would like to open with momentum and then discuss the extra 40 seats. [Screen share was the 2 September draft export.]</w:t>
      </w:r>
    </w:p>
    <w:p>
      <w:r>
        <w:rPr>
          <w:b/>
        </w:rPr>
        <w:t xml:space="preserve">09:04  Leo: </w:t>
      </w:r>
      <w:r>
        <w:t>Wait on the 94. I think four of those are test accounts from the replay exercise. I have not finished reconciling the names. The actual licensed-seat count is definitely 120; do not change that denominator.</w:t>
      </w:r>
    </w:p>
    <w:p>
      <w:r>
        <w:rPr>
          <w:b/>
        </w:rPr>
        <w:t xml:space="preserve">09:06  Maya: </w:t>
      </w:r>
      <w:r>
        <w:t>Please do not say adoption is solved. The night shift still uses the old path when the queue is busy. The June-to-August increase is useful, but active once in a month is a low bar. I need repeat use and fewer handoffs; neither is in this extract.</w:t>
      </w:r>
    </w:p>
    <w:p>
      <w:r>
        <w:rPr>
          <w:b/>
        </w:rPr>
        <w:t xml:space="preserve">09:09  Nina: </w:t>
      </w:r>
      <w:r>
        <w:t>Understood. The planning goal is 80 percent monthly active licensed seats at this Q3 checkpoint. We should show the gap, not round it away. Can we get a single clean August number after this call?</w:t>
      </w:r>
    </w:p>
    <w:p>
      <w:r>
        <w:rPr>
          <w:b/>
        </w:rPr>
        <w:t xml:space="preserve">09:12  Omar: </w:t>
      </w:r>
      <w:r>
        <w:t>The new routing rule helped staff find the pilot, but it also created extra review work for exceptions. The high-volume queue looks good in the demo. The mixed-language queue needs more manual checking. I would rather fix that than turn on another team this week.</w:t>
      </w:r>
    </w:p>
    <w:p>
      <w:r>
        <w:rPr>
          <w:b/>
        </w:rPr>
        <w:t xml:space="preserve">09:16  Maya: </w:t>
      </w:r>
      <w:r>
        <w:t>Yes, although training everyone at once costs coverage. We can take two small groups off queue or one large group. The large group is faster for enablement but worse for daily service. Put the tradeoff in the plan; do not promise both speed and no disruption.</w:t>
      </w:r>
    </w:p>
    <w:p>
      <w:r>
        <w:t>[Note from Nina: transcript resumed after a short connection drop. Some discussion of repeat-use reporting is missing. No decision on the repeat-use definition was recorded.]</w:t>
      </w:r>
    </w:p>
    <w:p>
      <w:r>
        <w:br w:type="page"/>
      </w:r>
    </w:p>
    <w:p>
      <w:pPr>
        <w:pStyle w:val="Heading1"/>
      </w:pPr>
      <w:r>
        <w:t>Transcript continued</w:t>
      </w:r>
    </w:p>
    <w:p>
      <w:r>
        <w:rPr>
          <w:b/>
        </w:rPr>
        <w:t xml:space="preserve">09:21  Leo: </w:t>
      </w:r>
      <w:r>
        <w:t>The eligible-ticket totals are 4,000 in June, 4,200 in July, 4,500 in August. Pilot-touched tickets are 800, 1,260 and 1,800. So coverage went from 20 to 30 to 40 percent of eligible tickets. That is a different measure from seat adoption.</w:t>
      </w:r>
    </w:p>
    <w:p>
      <w:r>
        <w:rPr>
          <w:b/>
        </w:rPr>
        <w:t xml:space="preserve">09:24  Nina: </w:t>
      </w:r>
      <w:r>
        <w:t>The audit says three minutes saved in June, 3.4 in July, 3.8 in August. Is there a safe way to turn that into a total value story?</w:t>
      </w:r>
    </w:p>
    <w:p>
      <w:r>
        <w:rPr>
          <w:b/>
        </w:rPr>
        <w:t xml:space="preserve">09:25  Leo: </w:t>
      </w:r>
      <w:r>
        <w:t>Not yet. Those are medians from 120, 140 and 160 same-month audited tickets, respectively. The audit sample was manually selected from pilot-touched tickets, not a random sample of the whole queue. We cannot multiply a median by all tickets and call it validated hours, and finance has not approved a labor-cost basis. Keep the sample sizes beside the figures.</w:t>
      </w:r>
    </w:p>
    <w:p>
      <w:r>
        <w:rPr>
          <w:b/>
        </w:rPr>
        <w:t xml:space="preserve">09:28  Maya: </w:t>
      </w:r>
      <w:r>
        <w:t>A time-saving signal is enough for now. Do not call it headcount saved. Staff still spend time reviewing outputs. I want a workflow-level check that includes rework before we use this in the renewal business case.</w:t>
      </w:r>
    </w:p>
    <w:p>
      <w:r>
        <w:rPr>
          <w:b/>
        </w:rPr>
        <w:t xml:space="preserve">09:30  Omar: </w:t>
      </w:r>
      <w:r>
        <w:t>Reliability: two P1 incidents in June, one in July, none in August. Three total in this review window. The August zero matters, but it is one month. We still need a named person for the after-hours fallback drill. I can draft the runbook, not own the whole escalation rota.</w:t>
      </w:r>
    </w:p>
    <w:p>
      <w:r>
        <w:rPr>
          <w:b/>
        </w:rPr>
        <w:t xml:space="preserve">09:33  Nina: </w:t>
      </w:r>
      <w:r>
        <w:t>CSAT is 4.2, 4.3, 4.1 out of five, right? I was going to say better service as coverage increased.</w:t>
      </w:r>
    </w:p>
    <w:p>
      <w:r>
        <w:rPr>
          <w:b/>
        </w:rPr>
        <w:t xml:space="preserve">09:34  Leo: </w:t>
      </w:r>
      <w:r>
        <w:t>Please do not. Survey response counts are 75, 82 and 96. The respondent mix changed and we have no controlled comparison or attribution design. August is lower than July. It is a watch item, not proof the pilot helped or harmed CSAT.</w:t>
      </w:r>
    </w:p>
    <w:p>
      <w:r>
        <w:rPr>
          <w:b/>
        </w:rPr>
        <w:t xml:space="preserve">09:38  Priya: </w:t>
      </w:r>
      <w:r>
        <w:t>Current renewal is $144,000 ARR, due 30 November 2026. That is the existing contract, not new pipeline. We need a renewal evidence pack before the procurement review. The extra 40 seats are a proposal only. There is no approved quote, committed amount or purchase order for expansion.</w:t>
      </w:r>
    </w:p>
    <w:p>
      <w:r>
        <w:rPr>
          <w:b/>
        </w:rPr>
        <w:t xml:space="preserve">09:41  Maya: </w:t>
      </w:r>
      <w:r>
        <w:t>Then separate the renewal and expansion conversations. I could consider expansion if night-shift adoption and the exception workflow improve. I am not agreeing today. Who owns the supervisor coaching? Maybe operations enablement, but I need to check capacity.</w:t>
      </w:r>
    </w:p>
    <w:p>
      <w:r>
        <w:rPr>
          <w:b/>
        </w:rPr>
        <w:t xml:space="preserve">09:44  Nina: </w:t>
      </w:r>
      <w:r>
        <w:t>I will draft the renewal pack for 15 October. Omar will bring the fallback draft by 18 September. Maya, can you confirm an enablement owner by 11 September? We should not label that owner assigned until you do.</w:t>
      </w:r>
    </w:p>
    <w:p>
      <w:r>
        <w:rPr>
          <w:b/>
        </w:rPr>
        <w:t xml:space="preserve">09:47  Maya: </w:t>
      </w:r>
      <w:r>
        <w:t>Yes, I can confirm who will own it, not promise the training completion date. Keep the 40 seats out of any committed forecast. We will decide whether to pursue that after the next checkpoint.</w:t>
      </w:r>
    </w:p>
    <w:p>
      <w:r>
        <w:t>[Meeting ended 09:48. No renewal commitment or expansion approval was made. Nina’s notes used “green on value” in the margin; Leo later asked for that phrase to be removed because validated total ROI is unavailable.]</w:t>
      </w:r>
    </w:p>
    <w:p>
      <w:r>
        <w:br w:type="page"/>
      </w:r>
    </w:p>
    <w:p>
      <w:pPr>
        <w:pStyle w:val="Heading1"/>
      </w:pPr>
      <w:r>
        <w:t>Corrections and reconciled metric snapshot</w:t>
      </w:r>
    </w:p>
    <w:p>
      <w:r>
        <w:t>5 September correction from Leo Park: August active seats = 90, not 94. The early transcript counted four test accounts. Exclude those accounts from the numerator; the licensed-seat denominator remains 120. Use this corrected snapshot over the 09:02 statement and the stale draft export. The corrected August adoption rate is 75 percent, not approximately 78 percent.</w:t>
      </w:r>
    </w:p>
    <w:tbl>
      <w:tblPr>
        <w:tblStyle w:val="TableGrid"/>
        <w:tblW w:type="auto" w:w="0"/>
        <w:tblLayout w:type="fixed"/>
        <w:tblLook w:firstColumn="1" w:firstRow="1" w:lastColumn="0" w:lastRow="0" w:noHBand="0" w:noVBand="1" w:val="04A0"/>
      </w:tblPr>
      <w:tblGrid>
        <w:gridCol w:w="4392"/>
        <w:gridCol w:w="1656"/>
        <w:gridCol w:w="1656"/>
        <w:gridCol w:w="2448"/>
      </w:tblGrid>
      <w:tr>
        <w:trPr>
          <w:cantSplit/>
        </w:trPr>
        <w:tc>
          <w:tcPr>
            <w:tcW w:type="dxa" w:w="4392"/>
            <w:shd w:fill="EDEDED"/>
          </w:tcPr>
          <w:p>
            <w:pPr>
              <w:spacing w:after="80" w:before="80"/>
            </w:pPr>
            <w:r>
              <w:rPr>
                <w:b/>
                <w:sz w:val="19"/>
              </w:rPr>
              <w:t>Metric</w:t>
            </w:r>
          </w:p>
        </w:tc>
        <w:tc>
          <w:tcPr>
            <w:tcW w:type="dxa" w:w="1656"/>
            <w:shd w:fill="EDEDED"/>
          </w:tcPr>
          <w:p>
            <w:pPr>
              <w:spacing w:after="80" w:before="80"/>
            </w:pPr>
            <w:r>
              <w:rPr>
                <w:b/>
                <w:sz w:val="19"/>
              </w:rPr>
              <w:t>June 2026</w:t>
            </w:r>
          </w:p>
        </w:tc>
        <w:tc>
          <w:tcPr>
            <w:tcW w:type="dxa" w:w="1656"/>
            <w:shd w:fill="EDEDED"/>
          </w:tcPr>
          <w:p>
            <w:pPr>
              <w:spacing w:after="80" w:before="80"/>
            </w:pPr>
            <w:r>
              <w:rPr>
                <w:b/>
                <w:sz w:val="19"/>
              </w:rPr>
              <w:t>July 2026</w:t>
            </w:r>
          </w:p>
        </w:tc>
        <w:tc>
          <w:tcPr>
            <w:tcW w:type="dxa" w:w="2448"/>
            <w:shd w:fill="EDEDED"/>
          </w:tcPr>
          <w:p>
            <w:pPr>
              <w:spacing w:after="80" w:before="80"/>
            </w:pPr>
            <w:r>
              <w:rPr>
                <w:b/>
                <w:sz w:val="19"/>
              </w:rPr>
              <w:t>August 2026</w:t>
            </w:r>
          </w:p>
        </w:tc>
      </w:tr>
      <w:tr>
        <w:trPr>
          <w:cantSplit/>
        </w:trPr>
        <w:tc>
          <w:tcPr>
            <w:tcW w:type="dxa" w:w="4392"/>
          </w:tcPr>
          <w:p>
            <w:pPr>
              <w:spacing w:after="80" w:before="80"/>
            </w:pPr>
            <w:r>
              <w:rPr>
                <w:sz w:val="19"/>
              </w:rPr>
              <w:t>Licensed seats</w:t>
            </w:r>
          </w:p>
        </w:tc>
        <w:tc>
          <w:tcPr>
            <w:tcW w:type="dxa" w:w="1656"/>
          </w:tcPr>
          <w:p>
            <w:pPr>
              <w:spacing w:after="80" w:before="80"/>
            </w:pPr>
            <w:r>
              <w:rPr>
                <w:sz w:val="19"/>
              </w:rPr>
              <w:t>120</w:t>
            </w:r>
          </w:p>
        </w:tc>
        <w:tc>
          <w:tcPr>
            <w:tcW w:type="dxa" w:w="1656"/>
          </w:tcPr>
          <w:p>
            <w:pPr>
              <w:spacing w:after="80" w:before="80"/>
            </w:pPr>
            <w:r>
              <w:rPr>
                <w:sz w:val="19"/>
              </w:rPr>
              <w:t>120</w:t>
            </w:r>
          </w:p>
        </w:tc>
        <w:tc>
          <w:tcPr>
            <w:tcW w:type="dxa" w:w="2448"/>
          </w:tcPr>
          <w:p>
            <w:pPr>
              <w:spacing w:after="80" w:before="80"/>
            </w:pPr>
            <w:r>
              <w:rPr>
                <w:sz w:val="19"/>
              </w:rPr>
              <w:t>120</w:t>
            </w:r>
          </w:p>
        </w:tc>
      </w:tr>
      <w:tr>
        <w:trPr>
          <w:cantSplit/>
        </w:trPr>
        <w:tc>
          <w:tcPr>
            <w:tcW w:type="dxa" w:w="4392"/>
          </w:tcPr>
          <w:p>
            <w:pPr>
              <w:spacing w:after="80" w:before="80"/>
            </w:pPr>
            <w:r>
              <w:rPr>
                <w:sz w:val="19"/>
              </w:rPr>
              <w:t>Monthly active licensed seats</w:t>
            </w:r>
          </w:p>
        </w:tc>
        <w:tc>
          <w:tcPr>
            <w:tcW w:type="dxa" w:w="1656"/>
          </w:tcPr>
          <w:p>
            <w:pPr>
              <w:spacing w:after="80" w:before="80"/>
            </w:pPr>
            <w:r>
              <w:rPr>
                <w:sz w:val="19"/>
              </w:rPr>
              <w:t>72</w:t>
            </w:r>
          </w:p>
        </w:tc>
        <w:tc>
          <w:tcPr>
            <w:tcW w:type="dxa" w:w="1656"/>
          </w:tcPr>
          <w:p>
            <w:pPr>
              <w:spacing w:after="80" w:before="80"/>
            </w:pPr>
            <w:r>
              <w:rPr>
                <w:sz w:val="19"/>
              </w:rPr>
              <w:t>84</w:t>
            </w:r>
          </w:p>
        </w:tc>
        <w:tc>
          <w:tcPr>
            <w:tcW w:type="dxa" w:w="2448"/>
          </w:tcPr>
          <w:p>
            <w:pPr>
              <w:spacing w:after="80" w:before="80"/>
            </w:pPr>
            <w:r>
              <w:rPr>
                <w:sz w:val="19"/>
              </w:rPr>
              <w:t>90 corrected</w:t>
            </w:r>
          </w:p>
        </w:tc>
      </w:tr>
      <w:tr>
        <w:trPr>
          <w:cantSplit/>
        </w:trPr>
        <w:tc>
          <w:tcPr>
            <w:tcW w:type="dxa" w:w="4392"/>
          </w:tcPr>
          <w:p>
            <w:pPr>
              <w:spacing w:after="80" w:before="80"/>
            </w:pPr>
            <w:r>
              <w:rPr>
                <w:sz w:val="19"/>
              </w:rPr>
              <w:t>Seat adoption</w:t>
            </w:r>
          </w:p>
        </w:tc>
        <w:tc>
          <w:tcPr>
            <w:tcW w:type="dxa" w:w="1656"/>
          </w:tcPr>
          <w:p>
            <w:pPr>
              <w:spacing w:after="80" w:before="80"/>
            </w:pPr>
            <w:r>
              <w:rPr>
                <w:sz w:val="19"/>
              </w:rPr>
              <w:t>60%</w:t>
            </w:r>
          </w:p>
        </w:tc>
        <w:tc>
          <w:tcPr>
            <w:tcW w:type="dxa" w:w="1656"/>
          </w:tcPr>
          <w:p>
            <w:pPr>
              <w:spacing w:after="80" w:before="80"/>
            </w:pPr>
            <w:r>
              <w:rPr>
                <w:sz w:val="19"/>
              </w:rPr>
              <w:t>70%</w:t>
            </w:r>
          </w:p>
        </w:tc>
        <w:tc>
          <w:tcPr>
            <w:tcW w:type="dxa" w:w="2448"/>
          </w:tcPr>
          <w:p>
            <w:pPr>
              <w:spacing w:after="80" w:before="80"/>
            </w:pPr>
            <w:r>
              <w:rPr>
                <w:sz w:val="19"/>
              </w:rPr>
              <w:t>75%</w:t>
            </w:r>
          </w:p>
        </w:tc>
      </w:tr>
      <w:tr>
        <w:trPr>
          <w:cantSplit/>
        </w:trPr>
        <w:tc>
          <w:tcPr>
            <w:tcW w:type="dxa" w:w="4392"/>
          </w:tcPr>
          <w:p>
            <w:pPr>
              <w:spacing w:after="80" w:before="80"/>
            </w:pPr>
            <w:r>
              <w:rPr>
                <w:sz w:val="19"/>
              </w:rPr>
              <w:t>Eligible tickets</w:t>
            </w:r>
          </w:p>
        </w:tc>
        <w:tc>
          <w:tcPr>
            <w:tcW w:type="dxa" w:w="1656"/>
          </w:tcPr>
          <w:p>
            <w:pPr>
              <w:spacing w:after="80" w:before="80"/>
            </w:pPr>
            <w:r>
              <w:rPr>
                <w:sz w:val="19"/>
              </w:rPr>
              <w:t>4,000</w:t>
            </w:r>
          </w:p>
        </w:tc>
        <w:tc>
          <w:tcPr>
            <w:tcW w:type="dxa" w:w="1656"/>
          </w:tcPr>
          <w:p>
            <w:pPr>
              <w:spacing w:after="80" w:before="80"/>
            </w:pPr>
            <w:r>
              <w:rPr>
                <w:sz w:val="19"/>
              </w:rPr>
              <w:t>4,200</w:t>
            </w:r>
          </w:p>
        </w:tc>
        <w:tc>
          <w:tcPr>
            <w:tcW w:type="dxa" w:w="2448"/>
          </w:tcPr>
          <w:p>
            <w:pPr>
              <w:spacing w:after="80" w:before="80"/>
            </w:pPr>
            <w:r>
              <w:rPr>
                <w:sz w:val="19"/>
              </w:rPr>
              <w:t>4,500</w:t>
            </w:r>
          </w:p>
        </w:tc>
      </w:tr>
      <w:tr>
        <w:trPr>
          <w:cantSplit/>
        </w:trPr>
        <w:tc>
          <w:tcPr>
            <w:tcW w:type="dxa" w:w="4392"/>
          </w:tcPr>
          <w:p>
            <w:pPr>
              <w:spacing w:after="80" w:before="80"/>
            </w:pPr>
            <w:r>
              <w:rPr>
                <w:sz w:val="19"/>
              </w:rPr>
              <w:t>Pilot-touched tickets</w:t>
            </w:r>
          </w:p>
        </w:tc>
        <w:tc>
          <w:tcPr>
            <w:tcW w:type="dxa" w:w="1656"/>
          </w:tcPr>
          <w:p>
            <w:pPr>
              <w:spacing w:after="80" w:before="80"/>
            </w:pPr>
            <w:r>
              <w:rPr>
                <w:sz w:val="19"/>
              </w:rPr>
              <w:t>800</w:t>
            </w:r>
          </w:p>
        </w:tc>
        <w:tc>
          <w:tcPr>
            <w:tcW w:type="dxa" w:w="1656"/>
          </w:tcPr>
          <w:p>
            <w:pPr>
              <w:spacing w:after="80" w:before="80"/>
            </w:pPr>
            <w:r>
              <w:rPr>
                <w:sz w:val="19"/>
              </w:rPr>
              <w:t>1,260</w:t>
            </w:r>
          </w:p>
        </w:tc>
        <w:tc>
          <w:tcPr>
            <w:tcW w:type="dxa" w:w="2448"/>
          </w:tcPr>
          <w:p>
            <w:pPr>
              <w:spacing w:after="80" w:before="80"/>
            </w:pPr>
            <w:r>
              <w:rPr>
                <w:sz w:val="19"/>
              </w:rPr>
              <w:t>1,800</w:t>
            </w:r>
          </w:p>
        </w:tc>
      </w:tr>
      <w:tr>
        <w:trPr>
          <w:cantSplit/>
        </w:trPr>
        <w:tc>
          <w:tcPr>
            <w:tcW w:type="dxa" w:w="4392"/>
          </w:tcPr>
          <w:p>
            <w:pPr>
              <w:spacing w:after="80" w:before="80"/>
            </w:pPr>
            <w:r>
              <w:rPr>
                <w:sz w:val="19"/>
              </w:rPr>
              <w:t>Eligible-ticket pilot coverage</w:t>
            </w:r>
          </w:p>
        </w:tc>
        <w:tc>
          <w:tcPr>
            <w:tcW w:type="dxa" w:w="1656"/>
          </w:tcPr>
          <w:p>
            <w:pPr>
              <w:spacing w:after="80" w:before="80"/>
            </w:pPr>
            <w:r>
              <w:rPr>
                <w:sz w:val="19"/>
              </w:rPr>
              <w:t>20%</w:t>
            </w:r>
          </w:p>
        </w:tc>
        <w:tc>
          <w:tcPr>
            <w:tcW w:type="dxa" w:w="1656"/>
          </w:tcPr>
          <w:p>
            <w:pPr>
              <w:spacing w:after="80" w:before="80"/>
            </w:pPr>
            <w:r>
              <w:rPr>
                <w:sz w:val="19"/>
              </w:rPr>
              <w:t>30%</w:t>
            </w:r>
          </w:p>
        </w:tc>
        <w:tc>
          <w:tcPr>
            <w:tcW w:type="dxa" w:w="2448"/>
          </w:tcPr>
          <w:p>
            <w:pPr>
              <w:spacing w:after="80" w:before="80"/>
            </w:pPr>
            <w:r>
              <w:rPr>
                <w:sz w:val="19"/>
              </w:rPr>
              <w:t>40%</w:t>
            </w:r>
          </w:p>
        </w:tc>
      </w:tr>
      <w:tr>
        <w:trPr>
          <w:cantSplit/>
        </w:trPr>
        <w:tc>
          <w:tcPr>
            <w:tcW w:type="dxa" w:w="4392"/>
          </w:tcPr>
          <w:p>
            <w:pPr>
              <w:spacing w:after="80" w:before="80"/>
            </w:pPr>
            <w:r>
              <w:rPr>
                <w:sz w:val="19"/>
              </w:rPr>
              <w:t>Audited time-saving sample tickets</w:t>
            </w:r>
          </w:p>
        </w:tc>
        <w:tc>
          <w:tcPr>
            <w:tcW w:type="dxa" w:w="1656"/>
          </w:tcPr>
          <w:p>
            <w:pPr>
              <w:spacing w:after="80" w:before="80"/>
            </w:pPr>
            <w:r>
              <w:rPr>
                <w:sz w:val="19"/>
              </w:rPr>
              <w:t>120</w:t>
            </w:r>
          </w:p>
        </w:tc>
        <w:tc>
          <w:tcPr>
            <w:tcW w:type="dxa" w:w="1656"/>
          </w:tcPr>
          <w:p>
            <w:pPr>
              <w:spacing w:after="80" w:before="80"/>
            </w:pPr>
            <w:r>
              <w:rPr>
                <w:sz w:val="19"/>
              </w:rPr>
              <w:t>140</w:t>
            </w:r>
          </w:p>
        </w:tc>
        <w:tc>
          <w:tcPr>
            <w:tcW w:type="dxa" w:w="2448"/>
          </w:tcPr>
          <w:p>
            <w:pPr>
              <w:spacing w:after="80" w:before="80"/>
            </w:pPr>
            <w:r>
              <w:rPr>
                <w:sz w:val="19"/>
              </w:rPr>
              <w:t>160</w:t>
            </w:r>
          </w:p>
        </w:tc>
      </w:tr>
      <w:tr>
        <w:trPr>
          <w:cantSplit/>
        </w:trPr>
        <w:tc>
          <w:tcPr>
            <w:tcW w:type="dxa" w:w="4392"/>
          </w:tcPr>
          <w:p>
            <w:pPr>
              <w:spacing w:after="80" w:before="80"/>
            </w:pPr>
            <w:r>
              <w:rPr>
                <w:sz w:val="19"/>
              </w:rPr>
              <w:t>Median minutes saved per audited ticket</w:t>
            </w:r>
          </w:p>
        </w:tc>
        <w:tc>
          <w:tcPr>
            <w:tcW w:type="dxa" w:w="1656"/>
          </w:tcPr>
          <w:p>
            <w:pPr>
              <w:spacing w:after="80" w:before="80"/>
            </w:pPr>
            <w:r>
              <w:rPr>
                <w:sz w:val="19"/>
              </w:rPr>
              <w:t>3.0</w:t>
            </w:r>
          </w:p>
        </w:tc>
        <w:tc>
          <w:tcPr>
            <w:tcW w:type="dxa" w:w="1656"/>
          </w:tcPr>
          <w:p>
            <w:pPr>
              <w:spacing w:after="80" w:before="80"/>
            </w:pPr>
            <w:r>
              <w:rPr>
                <w:sz w:val="19"/>
              </w:rPr>
              <w:t>3.4</w:t>
            </w:r>
          </w:p>
        </w:tc>
        <w:tc>
          <w:tcPr>
            <w:tcW w:type="dxa" w:w="2448"/>
          </w:tcPr>
          <w:p>
            <w:pPr>
              <w:spacing w:after="80" w:before="80"/>
            </w:pPr>
            <w:r>
              <w:rPr>
                <w:sz w:val="19"/>
              </w:rPr>
              <w:t>3.8</w:t>
            </w:r>
          </w:p>
        </w:tc>
      </w:tr>
      <w:tr>
        <w:trPr>
          <w:cantSplit/>
        </w:trPr>
        <w:tc>
          <w:tcPr>
            <w:tcW w:type="dxa" w:w="4392"/>
          </w:tcPr>
          <w:p>
            <w:pPr>
              <w:spacing w:after="80" w:before="80"/>
            </w:pPr>
            <w:r>
              <w:rPr>
                <w:sz w:val="19"/>
              </w:rPr>
              <w:t>P1 incidents</w:t>
            </w:r>
          </w:p>
        </w:tc>
        <w:tc>
          <w:tcPr>
            <w:tcW w:type="dxa" w:w="1656"/>
          </w:tcPr>
          <w:p>
            <w:pPr>
              <w:spacing w:after="80" w:before="80"/>
            </w:pPr>
            <w:r>
              <w:rPr>
                <w:sz w:val="19"/>
              </w:rPr>
              <w:t>2</w:t>
            </w:r>
          </w:p>
        </w:tc>
        <w:tc>
          <w:tcPr>
            <w:tcW w:type="dxa" w:w="1656"/>
          </w:tcPr>
          <w:p>
            <w:pPr>
              <w:spacing w:after="80" w:before="80"/>
            </w:pPr>
            <w:r>
              <w:rPr>
                <w:sz w:val="19"/>
              </w:rPr>
              <w:t>1</w:t>
            </w:r>
          </w:p>
        </w:tc>
        <w:tc>
          <w:tcPr>
            <w:tcW w:type="dxa" w:w="2448"/>
          </w:tcPr>
          <w:p>
            <w:pPr>
              <w:spacing w:after="80" w:before="80"/>
            </w:pPr>
            <w:r>
              <w:rPr>
                <w:sz w:val="19"/>
              </w:rPr>
              <w:t>0</w:t>
            </w:r>
          </w:p>
        </w:tc>
      </w:tr>
      <w:tr>
        <w:trPr>
          <w:cantSplit/>
        </w:trPr>
        <w:tc>
          <w:tcPr>
            <w:tcW w:type="dxa" w:w="4392"/>
          </w:tcPr>
          <w:p>
            <w:pPr>
              <w:spacing w:after="80" w:before="80"/>
            </w:pPr>
            <w:r>
              <w:rPr>
                <w:sz w:val="19"/>
              </w:rPr>
              <w:t>CSAT out of 5</w:t>
            </w:r>
          </w:p>
        </w:tc>
        <w:tc>
          <w:tcPr>
            <w:tcW w:type="dxa" w:w="1656"/>
          </w:tcPr>
          <w:p>
            <w:pPr>
              <w:spacing w:after="80" w:before="80"/>
            </w:pPr>
            <w:r>
              <w:rPr>
                <w:sz w:val="19"/>
              </w:rPr>
              <w:t>4.2</w:t>
            </w:r>
          </w:p>
        </w:tc>
        <w:tc>
          <w:tcPr>
            <w:tcW w:type="dxa" w:w="1656"/>
          </w:tcPr>
          <w:p>
            <w:pPr>
              <w:spacing w:after="80" w:before="80"/>
            </w:pPr>
            <w:r>
              <w:rPr>
                <w:sz w:val="19"/>
              </w:rPr>
              <w:t>4.3</w:t>
            </w:r>
          </w:p>
        </w:tc>
        <w:tc>
          <w:tcPr>
            <w:tcW w:type="dxa" w:w="2448"/>
          </w:tcPr>
          <w:p>
            <w:pPr>
              <w:spacing w:after="80" w:before="80"/>
            </w:pPr>
            <w:r>
              <w:rPr>
                <w:sz w:val="19"/>
              </w:rPr>
              <w:t>4.1</w:t>
            </w:r>
          </w:p>
        </w:tc>
      </w:tr>
      <w:tr>
        <w:trPr>
          <w:cantSplit/>
        </w:trPr>
        <w:tc>
          <w:tcPr>
            <w:tcW w:type="dxa" w:w="4392"/>
          </w:tcPr>
          <w:p>
            <w:pPr>
              <w:spacing w:after="80" w:before="80"/>
            </w:pPr>
            <w:r>
              <w:rPr>
                <w:sz w:val="19"/>
              </w:rPr>
              <w:t>CSAT response count</w:t>
            </w:r>
          </w:p>
        </w:tc>
        <w:tc>
          <w:tcPr>
            <w:tcW w:type="dxa" w:w="1656"/>
          </w:tcPr>
          <w:p>
            <w:pPr>
              <w:spacing w:after="80" w:before="80"/>
            </w:pPr>
            <w:r>
              <w:rPr>
                <w:sz w:val="19"/>
              </w:rPr>
              <w:t>75</w:t>
            </w:r>
          </w:p>
        </w:tc>
        <w:tc>
          <w:tcPr>
            <w:tcW w:type="dxa" w:w="1656"/>
          </w:tcPr>
          <w:p>
            <w:pPr>
              <w:spacing w:after="80" w:before="80"/>
            </w:pPr>
            <w:r>
              <w:rPr>
                <w:sz w:val="19"/>
              </w:rPr>
              <w:t>82</w:t>
            </w:r>
          </w:p>
        </w:tc>
        <w:tc>
          <w:tcPr>
            <w:tcW w:type="dxa" w:w="2448"/>
          </w:tcPr>
          <w:p>
            <w:pPr>
              <w:spacing w:after="80" w:before="80"/>
            </w:pPr>
            <w:r>
              <w:rPr>
                <w:sz w:val="19"/>
              </w:rPr>
              <w:t>96</w:t>
            </w:r>
          </w:p>
        </w:tc>
      </w:tr>
    </w:tbl>
    <w:p>
      <w:pPr>
        <w:pStyle w:val="Heading1"/>
      </w:pPr>
      <w:r>
        <w:t>Definitions and limits copied from the analyst note</w:t>
      </w:r>
    </w:p>
    <w:p>
      <w:r>
        <w:t>Active licensed seat: one non-test licensed user with at least one qualifying pilot workflow during the calendar month. Seat adoption = active licensed seats / 120. The 80 percent planning baseline goal corresponds to 96 active seats. August is six active seats and five percentage points short; the goal was not reached at this checkpoint.</w:t>
      </w:r>
    </w:p>
    <w:p>
      <w:r>
        <w:t>Eligible ticket: a ticket in an in-scope customer operations queue during that month. Pilot-touched: at least one recorded pilot workflow on an eligible ticket, counted once per ticket. Coverage = pilot-touched / eligible. It does not mean the ticket was fully resolved by the pilot or that every touched ticket saved time.</w:t>
      </w:r>
    </w:p>
    <w:p>
      <w:r>
        <w:t>Time saving: manually audited comparison with the existing workflow for a selected same-month pilot-touched sample; June n=120, July n=140, August n=160. Report medians, not averages. The selection method and review/rework accounting are insufficient to extrapolate total hours or a monetary ROI. No causal claim is supported.</w:t>
      </w:r>
    </w:p>
    <w:p>
      <w:r>
        <w:t>CSAT: monthly average among survey respondents, not among all eligible tickets. Different response counts and respondent mixes limit comparisons. Incident counts show recorded P1s only; severity criteria were unchanged across these three months. Zero August P1s is not a guarantee of future reliability.</w:t>
      </w:r>
    </w:p>
    <w:p>
      <w:r>
        <w:br w:type="page"/>
      </w:r>
    </w:p>
    <w:p>
      <w:pPr>
        <w:pStyle w:val="Heading1"/>
      </w:pPr>
      <w:r>
        <w:t>Risks decisions and loose ends</w:t>
      </w:r>
    </w:p>
    <w:p>
      <w:r>
        <w:t>Commercial note from Priya, 5 September: existing renewal remains $144,000 ARR with a 30 November 2026 renewal date. The 40-seat expansion is unpriced and proposed only. Do not add it to contracted ARR, renewal value or committed pipeline. Renewal approval is also not recorded in this packet.</w:t>
      </w:r>
    </w:p>
    <w:tbl>
      <w:tblPr>
        <w:tblStyle w:val="TableGrid"/>
        <w:tblW w:type="auto" w:w="0"/>
        <w:tblLayout w:type="fixed"/>
        <w:tblLook w:firstColumn="1" w:firstRow="1" w:lastColumn="0" w:lastRow="0" w:noHBand="0" w:noVBand="1" w:val="04A0"/>
      </w:tblPr>
      <w:tblGrid>
        <w:gridCol w:w="1800"/>
        <w:gridCol w:w="3744"/>
        <w:gridCol w:w="4608"/>
      </w:tblGrid>
      <w:tr>
        <w:trPr>
          <w:cantSplit/>
        </w:trPr>
        <w:tc>
          <w:tcPr>
            <w:tcW w:type="dxa" w:w="1800"/>
            <w:shd w:fill="EDEDED"/>
          </w:tcPr>
          <w:p>
            <w:pPr>
              <w:spacing w:after="80" w:before="80"/>
            </w:pPr>
            <w:r>
              <w:rPr>
                <w:b/>
                <w:sz w:val="19"/>
              </w:rPr>
              <w:t>Open issue</w:t>
            </w:r>
          </w:p>
        </w:tc>
        <w:tc>
          <w:tcPr>
            <w:tcW w:type="dxa" w:w="3744"/>
            <w:shd w:fill="EDEDED"/>
          </w:tcPr>
          <w:p>
            <w:pPr>
              <w:spacing w:after="80" w:before="80"/>
            </w:pPr>
            <w:r>
              <w:rPr>
                <w:b/>
                <w:sz w:val="19"/>
              </w:rPr>
              <w:t>Current evidence or tradeoff</w:t>
            </w:r>
          </w:p>
        </w:tc>
        <w:tc>
          <w:tcPr>
            <w:tcW w:type="dxa" w:w="4608"/>
            <w:shd w:fill="EDEDED"/>
          </w:tcPr>
          <w:p>
            <w:pPr>
              <w:spacing w:after="80" w:before="80"/>
            </w:pPr>
            <w:r>
              <w:rPr>
                <w:b/>
                <w:sz w:val="19"/>
              </w:rPr>
              <w:t>Next step and owner</w:t>
            </w:r>
          </w:p>
        </w:tc>
      </w:tr>
      <w:tr>
        <w:trPr>
          <w:cantSplit/>
        </w:trPr>
        <w:tc>
          <w:tcPr>
            <w:tcW w:type="dxa" w:w="1800"/>
          </w:tcPr>
          <w:p>
            <w:pPr>
              <w:spacing w:after="80" w:before="80"/>
            </w:pPr>
            <w:r>
              <w:rPr>
                <w:sz w:val="19"/>
              </w:rPr>
              <w:t>Adoption below goal</w:t>
            </w:r>
          </w:p>
        </w:tc>
        <w:tc>
          <w:tcPr>
            <w:tcW w:type="dxa" w:w="3744"/>
          </w:tcPr>
          <w:p>
            <w:pPr>
              <w:spacing w:after="80" w:before="80"/>
            </w:pPr>
            <w:r>
              <w:rPr>
                <w:sz w:val="19"/>
              </w:rPr>
              <w:t>90/120 active in August; night-shift use uneven. Faster group training reduces queue coverage.</w:t>
            </w:r>
          </w:p>
        </w:tc>
        <w:tc>
          <w:tcPr>
            <w:tcW w:type="dxa" w:w="4608"/>
          </w:tcPr>
          <w:p>
            <w:pPr>
              <w:spacing w:after="80" w:before="80"/>
            </w:pPr>
            <w:r>
              <w:rPr>
                <w:sz w:val="19"/>
              </w:rPr>
              <w:t>Maya to confirm a coaching owner by 11 Sep. Delivery owner still UNASSIGNED; completion date TBD.</w:t>
            </w:r>
          </w:p>
        </w:tc>
      </w:tr>
      <w:tr>
        <w:trPr>
          <w:cantSplit/>
        </w:trPr>
        <w:tc>
          <w:tcPr>
            <w:tcW w:type="dxa" w:w="1800"/>
          </w:tcPr>
          <w:p>
            <w:pPr>
              <w:spacing w:after="80" w:before="80"/>
            </w:pPr>
            <w:r>
              <w:rPr>
                <w:sz w:val="19"/>
              </w:rPr>
              <w:t>Exception handling and value evidence</w:t>
            </w:r>
          </w:p>
        </w:tc>
        <w:tc>
          <w:tcPr>
            <w:tcW w:type="dxa" w:w="3744"/>
          </w:tcPr>
          <w:p>
            <w:pPr>
              <w:spacing w:after="80" w:before="80"/>
            </w:pPr>
            <w:r>
              <w:rPr>
                <w:sz w:val="19"/>
              </w:rPr>
              <w:t>More pilot coverage can also create review work. Existing time audit excludes an adequate rework check.</w:t>
            </w:r>
          </w:p>
        </w:tc>
        <w:tc>
          <w:tcPr>
            <w:tcW w:type="dxa" w:w="4608"/>
          </w:tcPr>
          <w:p>
            <w:pPr>
              <w:spacing w:after="80" w:before="80"/>
            </w:pPr>
            <w:r>
              <w:rPr>
                <w:sz w:val="19"/>
              </w:rPr>
              <w:t>Leo to propose audit design by 25 Sep; Maya to approve scope. Do not claim total ROI.</w:t>
            </w:r>
          </w:p>
        </w:tc>
      </w:tr>
      <w:tr>
        <w:trPr>
          <w:cantSplit/>
        </w:trPr>
        <w:tc>
          <w:tcPr>
            <w:tcW w:type="dxa" w:w="1800"/>
          </w:tcPr>
          <w:p>
            <w:pPr>
              <w:spacing w:after="80" w:before="80"/>
            </w:pPr>
            <w:r>
              <w:rPr>
                <w:sz w:val="19"/>
              </w:rPr>
              <w:t>Operational resilience</w:t>
            </w:r>
          </w:p>
        </w:tc>
        <w:tc>
          <w:tcPr>
            <w:tcW w:type="dxa" w:w="3744"/>
          </w:tcPr>
          <w:p>
            <w:pPr>
              <w:spacing w:after="80" w:before="80"/>
            </w:pPr>
            <w:r>
              <w:rPr>
                <w:sz w:val="19"/>
              </w:rPr>
              <w:t>Three P1s in June–August; none in August. One quiet month is limited evidence.</w:t>
            </w:r>
          </w:p>
        </w:tc>
        <w:tc>
          <w:tcPr>
            <w:tcW w:type="dxa" w:w="4608"/>
          </w:tcPr>
          <w:p>
            <w:pPr>
              <w:spacing w:after="80" w:before="80"/>
            </w:pPr>
            <w:r>
              <w:rPr>
                <w:sz w:val="19"/>
              </w:rPr>
              <w:t>Omar to draft fallback runbook by 18 Sep. After-hours drill owner UNASSIGNED.</w:t>
            </w:r>
          </w:p>
        </w:tc>
      </w:tr>
      <w:tr>
        <w:trPr>
          <w:cantSplit/>
        </w:trPr>
        <w:tc>
          <w:tcPr>
            <w:tcW w:type="dxa" w:w="1800"/>
          </w:tcPr>
          <w:p>
            <w:pPr>
              <w:spacing w:after="80" w:before="80"/>
            </w:pPr>
            <w:r>
              <w:rPr>
                <w:sz w:val="19"/>
              </w:rPr>
              <w:t>Renewal readiness</w:t>
            </w:r>
          </w:p>
        </w:tc>
        <w:tc>
          <w:tcPr>
            <w:tcW w:type="dxa" w:w="3744"/>
          </w:tcPr>
          <w:p>
            <w:pPr>
              <w:spacing w:after="80" w:before="80"/>
            </w:pPr>
            <w:r>
              <w:rPr>
                <w:sz w:val="19"/>
              </w:rPr>
              <w:t>Current $144k ARR renewal due 30 Nov. Evidence pack needed; no approval yet.</w:t>
            </w:r>
          </w:p>
        </w:tc>
        <w:tc>
          <w:tcPr>
            <w:tcW w:type="dxa" w:w="4608"/>
          </w:tcPr>
          <w:p>
            <w:pPr>
              <w:spacing w:after="80" w:before="80"/>
            </w:pPr>
            <w:r>
              <w:rPr>
                <w:sz w:val="19"/>
              </w:rPr>
              <w:t>Nina to draft pack by 15 Oct; Priya to confirm procurement review slot.</w:t>
            </w:r>
          </w:p>
        </w:tc>
      </w:tr>
      <w:tr>
        <w:trPr>
          <w:cantSplit/>
        </w:trPr>
        <w:tc>
          <w:tcPr>
            <w:tcW w:type="dxa" w:w="1800"/>
          </w:tcPr>
          <w:p>
            <w:pPr>
              <w:spacing w:after="80" w:before="80"/>
            </w:pPr>
            <w:r>
              <w:rPr>
                <w:sz w:val="19"/>
              </w:rPr>
              <w:t>Expansion pressure</w:t>
            </w:r>
          </w:p>
        </w:tc>
        <w:tc>
          <w:tcPr>
            <w:tcW w:type="dxa" w:w="3744"/>
          </w:tcPr>
          <w:p>
            <w:pPr>
              <w:spacing w:after="80" w:before="80"/>
            </w:pPr>
            <w:r>
              <w:rPr>
                <w:sz w:val="19"/>
              </w:rPr>
              <w:t>40 additional seats discussed, but current-seat adoption is below target.</w:t>
            </w:r>
          </w:p>
        </w:tc>
        <w:tc>
          <w:tcPr>
            <w:tcW w:type="dxa" w:w="4608"/>
          </w:tcPr>
          <w:p>
            <w:pPr>
              <w:spacing w:after="80" w:before="80"/>
            </w:pPr>
            <w:r>
              <w:rPr>
                <w:sz w:val="19"/>
              </w:rPr>
              <w:t>Defer commitment. Maya and Priya to revisit after the next evidence checkpoint; no decision date agreed.</w:t>
            </w:r>
          </w:p>
        </w:tc>
      </w:tr>
    </w:tbl>
    <w:p>
      <w:pPr>
        <w:pStyle w:val="Heading1"/>
      </w:pPr>
      <w:r>
        <w:t>What was agreed and what remains tentative</w:t>
      </w:r>
    </w:p>
    <w:p>
      <w:r>
        <w:t>Agreed in the meeting: correct the active-seat count before presenting; distinguish seat adoption from ticket coverage; show the CSAT dip without attributing it to the pilot; keep expansion separate from the existing renewal; build a better evidence pack. The dates above are working next-step dates, not new contract terms.</w:t>
      </w:r>
    </w:p>
    <w:p>
      <w:r>
        <w:t>Tentative: two smaller training cohorts instead of one larger cohort. Maya favored less disruption but has not confirmed staffing. No training completion deadline was agreed. A second tradeoff is analytics depth versus renewal-pack speed: Leo can make a lightweight rework check quickly, but a stronger evaluation needs a larger design and additional review capacity.</w:t>
      </w:r>
    </w:p>
    <w:p>
      <w:pPr>
        <w:pStyle w:val="Heading1"/>
      </w:pPr>
      <w:r>
        <w:t>Unresolved questions for the next checkpoint</w:t>
      </w:r>
    </w:p>
    <w:p>
      <w:r>
        <w:t>Who owns night-shift coaching and the after-hours drill? What repeat-use threshold would distinguish one-time activation from sustained use? Can the next audit include review and rework without delaying the renewal pack? Which procurement reviewers need the evidence pack, and when can they meet?</w:t>
      </w:r>
    </w:p>
    <w:p>
      <w:r>
        <w:t>Presenter reminder from Nina: avoid turning this into a success-story deck. The honest read is improving adoption and coverage, incomplete value validation, and a renewal decision still ahead. Show the asks, the six-seat adoption gap and the unassigned owners. Use no logos, quotations from real people or invented customer endorsements.</w:t>
      </w:r>
    </w:p>
    <w:sectPr w:rsidR="00FC693F" w:rsidRPr="0006063C" w:rsidSect="00034616">
      <w:headerReference w:type="default" r:id="rId9"/>
      <w:footerReference w:type="default" r:id="rId10"/>
      <w:pgSz w:w="12240" w:h="15840"/>
      <w:pgMar w:top="950" w:right="1037" w:bottom="907" w:left="103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6"/>
      </w:rPr>
      <w:t xml:space="preserve">Cedarline Logistics fictional QBR packet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b/>
        <w:sz w:val="16"/>
      </w:rPr>
      <w:t>SYNTHETIC DEMONSTRATION   |   NOT A CUSTOMER STORY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4" w:lineRule="auto"/>
    </w:pPr>
    <w:rPr>
      <w:rFonts w:ascii="Arial" w:hAnsi="Arial"/>
      <w:color w:val="000000"/>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140"/>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140" w:after="120"/>
      <w:outlineLvl w:val="1"/>
    </w:pPr>
    <w:rPr>
      <w:rFonts w:asciiTheme="majorHAnsi" w:eastAsiaTheme="majorEastAsia" w:hAnsiTheme="majorHAnsi" w:cstheme="majorBidi" w:ascii="Arial" w:hAnsi="Arial"/>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40" w:lineRule="auto"/>
      <w:contextualSpacing/>
    </w:pPr>
    <w:rPr>
      <w:rFonts w:asciiTheme="majorHAnsi" w:eastAsiaTheme="majorEastAsia" w:hAnsiTheme="majorHAnsi" w:cstheme="majorBidi" w:ascii="Arial" w:hAnsi="Arial"/>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rial" w:hAnsi="Arial"/>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Cedarline Logistics pilot QBR working notes</dc:title>
  <dc:subject>Synthetic demonstration input</dc:subject>
  <dc:creator>Synthetic demonstration</dc:creator>
  <cp:keywords/>
  <dc:description>generated by python-docx</dc:description>
  <cp:lastModifiedBy/>
  <cp:revision>1</cp:revision>
  <dcterms:created xsi:type="dcterms:W3CDTF">2013-12-23T23:15:00Z</dcterms:created>
  <dcterms:modified xsi:type="dcterms:W3CDTF">2013-12-23T23:15:00Z</dcterms:modified>
  <cp:category/>
</cp:coreProperties>
</file>